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9BCE9" w14:textId="7F050240" w:rsidR="00D67CE8" w:rsidRPr="004E1F7E" w:rsidRDefault="00CF1B39" w:rsidP="00CF1B39">
      <w:pPr>
        <w:pStyle w:val="Overskrift1"/>
        <w:rPr>
          <w:rFonts w:ascii="Calibri" w:hAnsi="Calibri" w:cs="Calibri"/>
        </w:rPr>
      </w:pPr>
      <w:r w:rsidRPr="004E1F7E">
        <w:rPr>
          <w:rFonts w:ascii="Calibri" w:hAnsi="Calibri" w:cs="Calibri"/>
        </w:rPr>
        <w:t>Fremtidens batterier</w:t>
      </w:r>
      <w:r w:rsidR="00EC2B7C" w:rsidRPr="004E1F7E">
        <w:rPr>
          <w:rFonts w:ascii="Calibri" w:hAnsi="Calibri" w:cs="Calibri"/>
        </w:rPr>
        <w:t xml:space="preserve"> </w:t>
      </w:r>
      <w:r w:rsidRPr="004E1F7E">
        <w:rPr>
          <w:rFonts w:ascii="Calibri" w:hAnsi="Calibri" w:cs="Calibri"/>
        </w:rPr>
        <w:t>– information til læreren</w:t>
      </w:r>
    </w:p>
    <w:p w14:paraId="0132FC80" w14:textId="52AB63B9" w:rsidR="00EC2B7C" w:rsidRPr="004E1F7E" w:rsidRDefault="004E6533" w:rsidP="00EC2B7C">
      <w:pPr>
        <w:pStyle w:val="Overskrift2"/>
        <w:rPr>
          <w:rFonts w:ascii="Calibri" w:hAnsi="Calibri" w:cs="Calibri"/>
        </w:rPr>
      </w:pPr>
      <w:r w:rsidRPr="004E1F7E">
        <w:rPr>
          <w:rFonts w:ascii="Calibri" w:hAnsi="Calibri" w:cs="Calibri"/>
        </w:rPr>
        <w:t>B</w:t>
      </w:r>
      <w:r w:rsidR="00EC2B7C" w:rsidRPr="004E1F7E">
        <w:rPr>
          <w:rFonts w:ascii="Calibri" w:hAnsi="Calibri" w:cs="Calibri"/>
        </w:rPr>
        <w:t>-niveau</w:t>
      </w:r>
    </w:p>
    <w:p w14:paraId="35FC5043" w14:textId="05900596" w:rsidR="001A610B" w:rsidRPr="004E1F7E" w:rsidRDefault="001A610B" w:rsidP="00B86483">
      <w:pPr>
        <w:pStyle w:val="Overskrift3"/>
        <w:rPr>
          <w:rFonts w:ascii="Calibri" w:hAnsi="Calibri" w:cs="Calibri"/>
        </w:rPr>
      </w:pPr>
      <w:r w:rsidRPr="004E1F7E">
        <w:rPr>
          <w:rFonts w:ascii="Calibri" w:hAnsi="Calibri" w:cs="Calibri"/>
        </w:rPr>
        <w:t>Om materialet</w:t>
      </w:r>
    </w:p>
    <w:p w14:paraId="6FE19B95" w14:textId="3537A73B" w:rsidR="00D57147" w:rsidRDefault="001A610B" w:rsidP="001A610B">
      <w:pPr>
        <w:rPr>
          <w:rFonts w:ascii="Calibri" w:hAnsi="Calibri" w:cs="Calibri"/>
          <w:sz w:val="24"/>
          <w:szCs w:val="24"/>
        </w:rPr>
      </w:pPr>
      <w:r w:rsidRPr="004E1F7E">
        <w:rPr>
          <w:rFonts w:ascii="Calibri" w:hAnsi="Calibri" w:cs="Calibri"/>
          <w:sz w:val="24"/>
          <w:szCs w:val="24"/>
        </w:rPr>
        <w:t xml:space="preserve">Materialet </w:t>
      </w:r>
      <w:r w:rsidR="00CD1A8F" w:rsidRPr="004E1F7E">
        <w:rPr>
          <w:rFonts w:ascii="Calibri" w:hAnsi="Calibri" w:cs="Calibri"/>
          <w:sz w:val="24"/>
          <w:szCs w:val="24"/>
        </w:rPr>
        <w:t>indeholder</w:t>
      </w:r>
      <w:r w:rsidR="0080302E" w:rsidRPr="004E1F7E">
        <w:rPr>
          <w:rFonts w:ascii="Calibri" w:hAnsi="Calibri" w:cs="Calibri"/>
          <w:sz w:val="24"/>
          <w:szCs w:val="24"/>
        </w:rPr>
        <w:t xml:space="preserve"> kernestof om redoxkemi til </w:t>
      </w:r>
      <w:r w:rsidR="00AD0033">
        <w:rPr>
          <w:rFonts w:ascii="Calibri" w:hAnsi="Calibri" w:cs="Calibri"/>
          <w:sz w:val="24"/>
          <w:szCs w:val="24"/>
        </w:rPr>
        <w:t>B</w:t>
      </w:r>
      <w:r w:rsidR="0080302E" w:rsidRPr="004E1F7E">
        <w:rPr>
          <w:rFonts w:ascii="Calibri" w:hAnsi="Calibri" w:cs="Calibri"/>
          <w:sz w:val="24"/>
          <w:szCs w:val="24"/>
        </w:rPr>
        <w:t xml:space="preserve">-niveau i gymnasiet og bygger således ovenpå viden fra temaet ’Fremtidens batterier – </w:t>
      </w:r>
      <w:r w:rsidR="00AD0033">
        <w:rPr>
          <w:rFonts w:ascii="Calibri" w:hAnsi="Calibri" w:cs="Calibri"/>
          <w:sz w:val="24"/>
          <w:szCs w:val="24"/>
        </w:rPr>
        <w:t>C</w:t>
      </w:r>
      <w:r w:rsidR="0080302E" w:rsidRPr="004E1F7E">
        <w:rPr>
          <w:rFonts w:ascii="Calibri" w:hAnsi="Calibri" w:cs="Calibri"/>
          <w:sz w:val="24"/>
          <w:szCs w:val="24"/>
        </w:rPr>
        <w:t xml:space="preserve">-niveau’. Derfor antages det, at eleverne kender til fx </w:t>
      </w:r>
      <w:r w:rsidR="001C2180" w:rsidRPr="004E1F7E">
        <w:rPr>
          <w:rFonts w:ascii="Calibri" w:hAnsi="Calibri" w:cs="Calibri"/>
          <w:sz w:val="24"/>
          <w:szCs w:val="24"/>
        </w:rPr>
        <w:t>oxidation og reduktion samt spændingsrækken mm. Kernestoffet er sat i relation til</w:t>
      </w:r>
      <w:r w:rsidR="00784C1B" w:rsidRPr="004E1F7E">
        <w:rPr>
          <w:rFonts w:ascii="Calibri" w:hAnsi="Calibri" w:cs="Calibri"/>
          <w:sz w:val="24"/>
          <w:szCs w:val="24"/>
        </w:rPr>
        <w:t xml:space="preserve"> batterier</w:t>
      </w:r>
      <w:r w:rsidR="00517585" w:rsidRPr="004E1F7E">
        <w:rPr>
          <w:rFonts w:ascii="Calibri" w:hAnsi="Calibri" w:cs="Calibri"/>
          <w:sz w:val="24"/>
          <w:szCs w:val="24"/>
        </w:rPr>
        <w:t>s redoxprocesser</w:t>
      </w:r>
      <w:r w:rsidR="00C340DF" w:rsidRPr="004E1F7E">
        <w:rPr>
          <w:rFonts w:ascii="Calibri" w:hAnsi="Calibri" w:cs="Calibri"/>
          <w:sz w:val="24"/>
          <w:szCs w:val="24"/>
        </w:rPr>
        <w:t>, men e</w:t>
      </w:r>
      <w:r w:rsidR="00784C1B" w:rsidRPr="004E1F7E">
        <w:rPr>
          <w:rFonts w:ascii="Calibri" w:hAnsi="Calibri" w:cs="Calibri"/>
          <w:sz w:val="24"/>
          <w:szCs w:val="24"/>
        </w:rPr>
        <w:t xml:space="preserve">leven </w:t>
      </w:r>
      <w:r w:rsidR="00C51180" w:rsidRPr="004E1F7E">
        <w:rPr>
          <w:rFonts w:ascii="Calibri" w:hAnsi="Calibri" w:cs="Calibri"/>
          <w:sz w:val="24"/>
          <w:szCs w:val="24"/>
        </w:rPr>
        <w:t xml:space="preserve">møder </w:t>
      </w:r>
      <w:r w:rsidR="00182954" w:rsidRPr="004E1F7E">
        <w:rPr>
          <w:rFonts w:ascii="Calibri" w:hAnsi="Calibri" w:cs="Calibri"/>
          <w:sz w:val="24"/>
          <w:szCs w:val="24"/>
        </w:rPr>
        <w:t xml:space="preserve">indledningsvis </w:t>
      </w:r>
      <w:r w:rsidR="00C51180" w:rsidRPr="004E1F7E">
        <w:rPr>
          <w:rFonts w:ascii="Calibri" w:hAnsi="Calibri" w:cs="Calibri"/>
          <w:sz w:val="24"/>
          <w:szCs w:val="24"/>
        </w:rPr>
        <w:t xml:space="preserve">de livgivende redoxprocesser, fotosyntesen og respirationen, </w:t>
      </w:r>
      <w:r w:rsidR="00D57147" w:rsidRPr="004E1F7E">
        <w:rPr>
          <w:rFonts w:ascii="Calibri" w:hAnsi="Calibri" w:cs="Calibri"/>
          <w:sz w:val="24"/>
          <w:szCs w:val="24"/>
        </w:rPr>
        <w:t xml:space="preserve">for at understrege vigtigheden af redoxkemien. </w:t>
      </w:r>
      <w:r w:rsidR="00D61DE4" w:rsidRPr="004E1F7E">
        <w:rPr>
          <w:rFonts w:ascii="Calibri" w:hAnsi="Calibri" w:cs="Calibri"/>
          <w:sz w:val="24"/>
          <w:szCs w:val="24"/>
        </w:rPr>
        <w:t xml:space="preserve">Herefter </w:t>
      </w:r>
      <w:r w:rsidR="003A6269" w:rsidRPr="004E1F7E">
        <w:rPr>
          <w:rFonts w:ascii="Calibri" w:hAnsi="Calibri" w:cs="Calibri"/>
          <w:sz w:val="24"/>
          <w:szCs w:val="24"/>
        </w:rPr>
        <w:t>følger lidt baggrundsmateriale om batteriers holdbarhed</w:t>
      </w:r>
      <w:r w:rsidR="002C343C" w:rsidRPr="004E1F7E">
        <w:rPr>
          <w:rFonts w:ascii="Calibri" w:hAnsi="Calibri" w:cs="Calibri"/>
          <w:sz w:val="24"/>
          <w:szCs w:val="24"/>
        </w:rPr>
        <w:t>, økonomi og bæredygtighed.</w:t>
      </w:r>
    </w:p>
    <w:p w14:paraId="43B9FE67" w14:textId="5AC27581" w:rsidR="002C343C" w:rsidRPr="004E1F7E" w:rsidRDefault="001934CC" w:rsidP="001A610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Fokus i k</w:t>
      </w:r>
      <w:r w:rsidR="002C343C" w:rsidRPr="004E1F7E">
        <w:rPr>
          <w:rFonts w:ascii="Calibri" w:hAnsi="Calibri" w:cs="Calibri"/>
          <w:sz w:val="24"/>
          <w:szCs w:val="24"/>
        </w:rPr>
        <w:t xml:space="preserve">ernestoffet omkring </w:t>
      </w:r>
      <w:r w:rsidR="002F44CF" w:rsidRPr="004E1F7E">
        <w:rPr>
          <w:rFonts w:ascii="Calibri" w:hAnsi="Calibri" w:cs="Calibri"/>
          <w:sz w:val="24"/>
          <w:szCs w:val="24"/>
        </w:rPr>
        <w:t xml:space="preserve">elektronegativitet, </w:t>
      </w:r>
      <w:r w:rsidR="001F1A1A" w:rsidRPr="004E1F7E">
        <w:rPr>
          <w:rFonts w:ascii="Calibri" w:hAnsi="Calibri" w:cs="Calibri"/>
          <w:sz w:val="24"/>
          <w:szCs w:val="24"/>
        </w:rPr>
        <w:t>oxidationstal</w:t>
      </w:r>
      <w:r w:rsidR="00B00696" w:rsidRPr="004E1F7E">
        <w:rPr>
          <w:rFonts w:ascii="Calibri" w:hAnsi="Calibri" w:cs="Calibri"/>
          <w:sz w:val="24"/>
          <w:szCs w:val="24"/>
        </w:rPr>
        <w:t xml:space="preserve"> (OT) og afstemning af redoxreaktioner</w:t>
      </w:r>
      <w:r>
        <w:rPr>
          <w:rFonts w:ascii="Calibri" w:hAnsi="Calibri" w:cs="Calibri"/>
          <w:sz w:val="24"/>
          <w:szCs w:val="24"/>
        </w:rPr>
        <w:t xml:space="preserve"> er i første omgang </w:t>
      </w:r>
      <w:r w:rsidRPr="001934CC">
        <w:rPr>
          <w:rFonts w:ascii="Calibri" w:hAnsi="Calibri" w:cs="Calibri"/>
          <w:sz w:val="24"/>
          <w:szCs w:val="24"/>
          <w:u w:val="single"/>
        </w:rPr>
        <w:t>ikke</w:t>
      </w:r>
      <w:r>
        <w:rPr>
          <w:rFonts w:ascii="Calibri" w:hAnsi="Calibri" w:cs="Calibri"/>
          <w:sz w:val="24"/>
          <w:szCs w:val="24"/>
        </w:rPr>
        <w:t xml:space="preserve"> på batterier, men på at forstå redoxkemi generelt. Det</w:t>
      </w:r>
      <w:r w:rsidR="00B00696" w:rsidRPr="004E1F7E">
        <w:rPr>
          <w:rFonts w:ascii="Calibri" w:hAnsi="Calibri" w:cs="Calibri"/>
          <w:sz w:val="24"/>
          <w:szCs w:val="24"/>
        </w:rPr>
        <w:t xml:space="preserve"> </w:t>
      </w:r>
      <w:r w:rsidR="006A4AB3" w:rsidRPr="004E1F7E">
        <w:rPr>
          <w:rFonts w:ascii="Calibri" w:hAnsi="Calibri" w:cs="Calibri"/>
          <w:sz w:val="24"/>
          <w:szCs w:val="24"/>
        </w:rPr>
        <w:t xml:space="preserve">gennemgås med </w:t>
      </w:r>
      <w:r w:rsidR="002C1BCC" w:rsidRPr="004E1F7E">
        <w:rPr>
          <w:rFonts w:ascii="Calibri" w:hAnsi="Calibri" w:cs="Calibri"/>
          <w:sz w:val="24"/>
          <w:szCs w:val="24"/>
        </w:rPr>
        <w:t>illustrative figurer, opgaver</w:t>
      </w:r>
      <w:r w:rsidR="00DA76E4" w:rsidRPr="004E1F7E">
        <w:rPr>
          <w:rFonts w:ascii="Calibri" w:hAnsi="Calibri" w:cs="Calibri"/>
          <w:sz w:val="24"/>
          <w:szCs w:val="24"/>
        </w:rPr>
        <w:t xml:space="preserve">, en </w:t>
      </w:r>
      <w:r w:rsidR="002C1BCC" w:rsidRPr="004E1F7E">
        <w:rPr>
          <w:rFonts w:ascii="Calibri" w:hAnsi="Calibri" w:cs="Calibri"/>
          <w:sz w:val="24"/>
          <w:szCs w:val="24"/>
        </w:rPr>
        <w:t xml:space="preserve">faktaboks samt to forsøg om </w:t>
      </w:r>
      <w:r w:rsidR="00DA76E4" w:rsidRPr="004E1F7E">
        <w:rPr>
          <w:rFonts w:ascii="Calibri" w:hAnsi="Calibri" w:cs="Calibri"/>
          <w:sz w:val="24"/>
          <w:szCs w:val="24"/>
        </w:rPr>
        <w:t>oxidation. Herefter følger</w:t>
      </w:r>
      <w:r w:rsidR="00E470B8" w:rsidRPr="004E1F7E">
        <w:rPr>
          <w:rFonts w:ascii="Calibri" w:hAnsi="Calibri" w:cs="Calibri"/>
          <w:sz w:val="24"/>
          <w:szCs w:val="24"/>
        </w:rPr>
        <w:t xml:space="preserve"> to forsøg med mangans mange OT – det ene er </w:t>
      </w:r>
      <w:r w:rsidR="003E6022" w:rsidRPr="004E1F7E">
        <w:rPr>
          <w:rFonts w:ascii="Calibri" w:hAnsi="Calibri" w:cs="Calibri"/>
          <w:sz w:val="24"/>
          <w:szCs w:val="24"/>
        </w:rPr>
        <w:t>en kvalitativ observation og kobling til mangans forskellige farver</w:t>
      </w:r>
      <w:r w:rsidR="00FB169A" w:rsidRPr="004E1F7E">
        <w:rPr>
          <w:rFonts w:ascii="Calibri" w:hAnsi="Calibri" w:cs="Calibri"/>
          <w:sz w:val="24"/>
          <w:szCs w:val="24"/>
        </w:rPr>
        <w:t xml:space="preserve">, </w:t>
      </w:r>
      <w:r w:rsidR="003E6022" w:rsidRPr="004E1F7E">
        <w:rPr>
          <w:rFonts w:ascii="Calibri" w:hAnsi="Calibri" w:cs="Calibri"/>
          <w:sz w:val="24"/>
          <w:szCs w:val="24"/>
        </w:rPr>
        <w:t xml:space="preserve">og det andet </w:t>
      </w:r>
      <w:r w:rsidR="007568D1">
        <w:rPr>
          <w:rFonts w:ascii="Calibri" w:hAnsi="Calibri" w:cs="Calibri"/>
          <w:sz w:val="24"/>
          <w:szCs w:val="24"/>
        </w:rPr>
        <w:t>er</w:t>
      </w:r>
      <w:r w:rsidR="003E6022" w:rsidRPr="004E1F7E">
        <w:rPr>
          <w:rFonts w:ascii="Calibri" w:hAnsi="Calibri" w:cs="Calibri"/>
          <w:sz w:val="24"/>
          <w:szCs w:val="24"/>
        </w:rPr>
        <w:t xml:space="preserve"> en kvantitativ bestemmelse </w:t>
      </w:r>
      <w:r w:rsidR="00FB169A" w:rsidRPr="004E1F7E">
        <w:rPr>
          <w:rFonts w:ascii="Calibri" w:hAnsi="Calibri" w:cs="Calibri"/>
          <w:sz w:val="24"/>
          <w:szCs w:val="24"/>
        </w:rPr>
        <w:t>af manganindhold</w:t>
      </w:r>
      <w:r w:rsidR="0075595B">
        <w:rPr>
          <w:rFonts w:ascii="Calibri" w:hAnsi="Calibri" w:cs="Calibri"/>
          <w:sz w:val="24"/>
          <w:szCs w:val="24"/>
        </w:rPr>
        <w:t>et</w:t>
      </w:r>
      <w:r w:rsidR="00FB169A" w:rsidRPr="004E1F7E">
        <w:rPr>
          <w:rFonts w:ascii="Calibri" w:hAnsi="Calibri" w:cs="Calibri"/>
          <w:sz w:val="24"/>
          <w:szCs w:val="24"/>
        </w:rPr>
        <w:t xml:space="preserve"> i en opløsning, der kobles til bilbatteriers indhold af mangan. Her træner eleverne bl.a. stofmængdeberegninger. </w:t>
      </w:r>
    </w:p>
    <w:p w14:paraId="779B5EFE" w14:textId="1E07B5F5" w:rsidR="00FB169A" w:rsidRDefault="00FB169A" w:rsidP="001A610B">
      <w:pPr>
        <w:rPr>
          <w:rFonts w:ascii="Calibri" w:hAnsi="Calibri" w:cs="Calibri"/>
          <w:sz w:val="24"/>
          <w:szCs w:val="24"/>
        </w:rPr>
      </w:pPr>
      <w:r w:rsidRPr="004E1F7E">
        <w:rPr>
          <w:rFonts w:ascii="Calibri" w:hAnsi="Calibri" w:cs="Calibri"/>
          <w:sz w:val="24"/>
          <w:szCs w:val="24"/>
        </w:rPr>
        <w:t>Til sidst afsluttes temaet med</w:t>
      </w:r>
      <w:r w:rsidR="000C357B" w:rsidRPr="004E1F7E">
        <w:rPr>
          <w:rFonts w:ascii="Calibri" w:hAnsi="Calibri" w:cs="Calibri"/>
          <w:sz w:val="24"/>
          <w:szCs w:val="24"/>
        </w:rPr>
        <w:t xml:space="preserve"> en præsentation af nyere dansk forskning i faststofbatterier og en forklaring af begreber som energiindhold og energieffektivitet. </w:t>
      </w:r>
    </w:p>
    <w:p w14:paraId="263708E9" w14:textId="77777777" w:rsidR="00FC6472" w:rsidRPr="004E1F7E" w:rsidRDefault="00FC6472" w:rsidP="001A610B">
      <w:pPr>
        <w:rPr>
          <w:rFonts w:ascii="Calibri" w:hAnsi="Calibri" w:cs="Calibri"/>
          <w:sz w:val="24"/>
          <w:szCs w:val="24"/>
        </w:rPr>
      </w:pPr>
    </w:p>
    <w:p w14:paraId="452F7154" w14:textId="6ADCDC4C" w:rsidR="00B8239F" w:rsidRPr="004E1F7E" w:rsidRDefault="00B8239F" w:rsidP="00B86483">
      <w:pPr>
        <w:pStyle w:val="Overskrift3"/>
        <w:rPr>
          <w:rFonts w:ascii="Calibri" w:hAnsi="Calibri" w:cs="Calibri"/>
        </w:rPr>
      </w:pPr>
      <w:r w:rsidRPr="004E1F7E">
        <w:rPr>
          <w:rFonts w:ascii="Calibri" w:hAnsi="Calibri" w:cs="Calibri"/>
        </w:rPr>
        <w:t>Om forsøgene</w:t>
      </w:r>
    </w:p>
    <w:p w14:paraId="513FA248" w14:textId="141DA4A6" w:rsidR="00942C53" w:rsidRPr="004E1F7E" w:rsidRDefault="00942C53" w:rsidP="006E2DAB">
      <w:pPr>
        <w:rPr>
          <w:rFonts w:ascii="Calibri" w:hAnsi="Calibri" w:cs="Calibri"/>
          <w:sz w:val="24"/>
          <w:szCs w:val="24"/>
        </w:rPr>
      </w:pPr>
      <w:r w:rsidRPr="004E1F7E">
        <w:rPr>
          <w:rFonts w:ascii="Calibri" w:hAnsi="Calibri" w:cs="Calibri"/>
          <w:sz w:val="24"/>
          <w:szCs w:val="24"/>
        </w:rPr>
        <w:t>Der er i alt 4 forsøg</w:t>
      </w:r>
      <w:r w:rsidR="00845AD1" w:rsidRPr="004E1F7E">
        <w:rPr>
          <w:rFonts w:ascii="Calibri" w:hAnsi="Calibri" w:cs="Calibri"/>
          <w:sz w:val="24"/>
          <w:szCs w:val="24"/>
        </w:rPr>
        <w:t>.</w:t>
      </w:r>
    </w:p>
    <w:p w14:paraId="5815796A" w14:textId="31A9BA29" w:rsidR="00D75AD6" w:rsidRPr="004E1F7E" w:rsidRDefault="00D75AD6" w:rsidP="006E2DAB">
      <w:pPr>
        <w:rPr>
          <w:rFonts w:ascii="Calibri" w:hAnsi="Calibri" w:cs="Calibri"/>
          <w:b/>
          <w:bCs/>
          <w:sz w:val="24"/>
          <w:szCs w:val="24"/>
        </w:rPr>
      </w:pPr>
      <w:r w:rsidRPr="004E1F7E">
        <w:rPr>
          <w:rFonts w:ascii="Calibri" w:hAnsi="Calibri" w:cs="Calibri"/>
          <w:b/>
          <w:bCs/>
          <w:sz w:val="24"/>
          <w:szCs w:val="24"/>
        </w:rPr>
        <w:t>Forsøg 1</w:t>
      </w:r>
      <w:r w:rsidR="006D77D5" w:rsidRPr="004E1F7E">
        <w:rPr>
          <w:rFonts w:ascii="Calibri" w:hAnsi="Calibri" w:cs="Calibri"/>
          <w:b/>
          <w:bCs/>
          <w:sz w:val="24"/>
          <w:szCs w:val="24"/>
        </w:rPr>
        <w:t xml:space="preserve"> – 50 år på 2 dage</w:t>
      </w:r>
    </w:p>
    <w:p w14:paraId="243E9622" w14:textId="18CF6155" w:rsidR="009659BC" w:rsidRPr="004E1F7E" w:rsidRDefault="009659BC" w:rsidP="006E2DAB">
      <w:pPr>
        <w:rPr>
          <w:rFonts w:ascii="Calibri" w:hAnsi="Calibri" w:cs="Calibri"/>
          <w:b/>
          <w:bCs/>
          <w:sz w:val="24"/>
          <w:szCs w:val="24"/>
        </w:rPr>
      </w:pPr>
      <w:r w:rsidRPr="004E1F7E">
        <w:rPr>
          <w:rFonts w:ascii="Calibri" w:hAnsi="Calibri" w:cs="Calibri"/>
          <w:b/>
          <w:bCs/>
          <w:sz w:val="24"/>
          <w:szCs w:val="24"/>
        </w:rPr>
        <w:t>Forsøg 2</w:t>
      </w:r>
      <w:r w:rsidR="00047960" w:rsidRPr="004E1F7E">
        <w:rPr>
          <w:rFonts w:ascii="Calibri" w:hAnsi="Calibri" w:cs="Calibri"/>
          <w:b/>
          <w:bCs/>
          <w:sz w:val="24"/>
          <w:szCs w:val="24"/>
        </w:rPr>
        <w:t xml:space="preserve"> – Den store kobberdyst – opskriften på perfekte grønne tage</w:t>
      </w:r>
    </w:p>
    <w:p w14:paraId="2B5E4785" w14:textId="7368B4B4" w:rsidR="009659BC" w:rsidRPr="004E1F7E" w:rsidRDefault="009659BC" w:rsidP="006E2DAB">
      <w:pPr>
        <w:rPr>
          <w:rFonts w:ascii="Calibri" w:hAnsi="Calibri" w:cs="Calibri"/>
          <w:b/>
          <w:bCs/>
          <w:sz w:val="24"/>
          <w:szCs w:val="24"/>
        </w:rPr>
      </w:pPr>
      <w:r w:rsidRPr="004E1F7E">
        <w:rPr>
          <w:rFonts w:ascii="Calibri" w:hAnsi="Calibri" w:cs="Calibri"/>
          <w:b/>
          <w:bCs/>
          <w:sz w:val="24"/>
          <w:szCs w:val="24"/>
        </w:rPr>
        <w:t xml:space="preserve">Forsøg </w:t>
      </w:r>
      <w:r w:rsidR="00E25EDA" w:rsidRPr="004E1F7E">
        <w:rPr>
          <w:rFonts w:ascii="Calibri" w:hAnsi="Calibri" w:cs="Calibri"/>
          <w:b/>
          <w:bCs/>
          <w:sz w:val="24"/>
          <w:szCs w:val="24"/>
        </w:rPr>
        <w:t>3</w:t>
      </w:r>
      <w:r w:rsidR="00CF0B61" w:rsidRPr="004E1F7E">
        <w:rPr>
          <w:rFonts w:ascii="Calibri" w:hAnsi="Calibri" w:cs="Calibri"/>
          <w:b/>
          <w:bCs/>
          <w:sz w:val="24"/>
          <w:szCs w:val="24"/>
        </w:rPr>
        <w:t xml:space="preserve"> – Den kemiske kamelæon</w:t>
      </w:r>
    </w:p>
    <w:p w14:paraId="71F70CB7" w14:textId="1D76B0FD" w:rsidR="009659BC" w:rsidRPr="004E1F7E" w:rsidRDefault="00E25EDA" w:rsidP="006E2DAB">
      <w:pPr>
        <w:rPr>
          <w:rFonts w:ascii="Calibri" w:hAnsi="Calibri" w:cs="Calibri"/>
          <w:b/>
          <w:bCs/>
          <w:sz w:val="24"/>
          <w:szCs w:val="24"/>
        </w:rPr>
      </w:pPr>
      <w:r w:rsidRPr="004E1F7E">
        <w:rPr>
          <w:rFonts w:ascii="Calibri" w:hAnsi="Calibri" w:cs="Calibri"/>
          <w:b/>
          <w:bCs/>
          <w:sz w:val="24"/>
          <w:szCs w:val="24"/>
        </w:rPr>
        <w:t>Forsøg 4</w:t>
      </w:r>
      <w:r w:rsidR="00B33492" w:rsidRPr="004E1F7E">
        <w:rPr>
          <w:rFonts w:ascii="Calibri" w:hAnsi="Calibri" w:cs="Calibri"/>
          <w:b/>
          <w:bCs/>
          <w:sz w:val="24"/>
          <w:szCs w:val="24"/>
        </w:rPr>
        <w:t xml:space="preserve"> – Mangan i elbilbatterier</w:t>
      </w:r>
    </w:p>
    <w:p w14:paraId="18F5ABD8" w14:textId="50A6CF1D" w:rsidR="00F603AC" w:rsidRPr="004E1F7E" w:rsidRDefault="00942C53" w:rsidP="00942C53">
      <w:pPr>
        <w:rPr>
          <w:rFonts w:ascii="Calibri" w:hAnsi="Calibri" w:cs="Calibri"/>
          <w:sz w:val="24"/>
          <w:szCs w:val="24"/>
        </w:rPr>
      </w:pPr>
      <w:r w:rsidRPr="004E1F7E">
        <w:rPr>
          <w:rFonts w:ascii="Calibri" w:hAnsi="Calibri" w:cs="Calibri"/>
          <w:sz w:val="24"/>
          <w:szCs w:val="24"/>
        </w:rPr>
        <w:t xml:space="preserve">Alle forsøgene </w:t>
      </w:r>
      <w:r w:rsidR="00845AD1" w:rsidRPr="004E1F7E">
        <w:rPr>
          <w:rFonts w:ascii="Calibri" w:hAnsi="Calibri" w:cs="Calibri"/>
          <w:sz w:val="24"/>
          <w:szCs w:val="24"/>
        </w:rPr>
        <w:t>indeholder</w:t>
      </w:r>
      <w:r w:rsidRPr="004E1F7E">
        <w:rPr>
          <w:rFonts w:ascii="Calibri" w:hAnsi="Calibri" w:cs="Calibri"/>
          <w:sz w:val="24"/>
          <w:szCs w:val="24"/>
        </w:rPr>
        <w:t xml:space="preserve"> opgaver</w:t>
      </w:r>
      <w:r w:rsidR="00845AD1" w:rsidRPr="004E1F7E">
        <w:rPr>
          <w:rFonts w:ascii="Calibri" w:hAnsi="Calibri" w:cs="Calibri"/>
          <w:sz w:val="24"/>
          <w:szCs w:val="24"/>
        </w:rPr>
        <w:t>, d</w:t>
      </w:r>
      <w:r w:rsidRPr="004E1F7E">
        <w:rPr>
          <w:rFonts w:ascii="Calibri" w:hAnsi="Calibri" w:cs="Calibri"/>
          <w:sz w:val="24"/>
          <w:szCs w:val="24"/>
        </w:rPr>
        <w:t xml:space="preserve">er </w:t>
      </w:r>
      <w:r w:rsidR="00FC56E5">
        <w:rPr>
          <w:rFonts w:ascii="Calibri" w:hAnsi="Calibri" w:cs="Calibri"/>
          <w:sz w:val="24"/>
          <w:szCs w:val="24"/>
        </w:rPr>
        <w:t xml:space="preserve">er </w:t>
      </w:r>
      <w:r w:rsidRPr="004E1F7E">
        <w:rPr>
          <w:rFonts w:ascii="Calibri" w:hAnsi="Calibri" w:cs="Calibri"/>
          <w:sz w:val="24"/>
          <w:szCs w:val="24"/>
        </w:rPr>
        <w:t xml:space="preserve">skrevet ind i øvelsesvejledningerne og kommer i en rækkefølge, </w:t>
      </w:r>
      <w:r w:rsidR="00D85E86" w:rsidRPr="004E1F7E">
        <w:rPr>
          <w:rFonts w:ascii="Calibri" w:hAnsi="Calibri" w:cs="Calibri"/>
          <w:sz w:val="24"/>
          <w:szCs w:val="24"/>
        </w:rPr>
        <w:t>der er tilpasset forsøgene</w:t>
      </w:r>
      <w:r w:rsidRPr="004E1F7E">
        <w:rPr>
          <w:rFonts w:ascii="Calibri" w:hAnsi="Calibri" w:cs="Calibri"/>
          <w:sz w:val="24"/>
          <w:szCs w:val="24"/>
        </w:rPr>
        <w:t>.</w:t>
      </w:r>
      <w:r w:rsidR="000F0AEC" w:rsidRPr="004E1F7E">
        <w:rPr>
          <w:rFonts w:ascii="Calibri" w:hAnsi="Calibri" w:cs="Calibri"/>
          <w:sz w:val="24"/>
          <w:szCs w:val="24"/>
        </w:rPr>
        <w:t xml:space="preserve"> Alle forsøg </w:t>
      </w:r>
      <w:r w:rsidR="00FA7649" w:rsidRPr="004E1F7E">
        <w:rPr>
          <w:rFonts w:ascii="Calibri" w:hAnsi="Calibri" w:cs="Calibri"/>
          <w:sz w:val="24"/>
          <w:szCs w:val="24"/>
        </w:rPr>
        <w:t xml:space="preserve">har fokus på risiko og sikkerhed og involverer eleverne aktivt heri. </w:t>
      </w:r>
    </w:p>
    <w:p w14:paraId="293F22C0" w14:textId="77777777" w:rsidR="00BD0840" w:rsidRPr="004E1F7E" w:rsidRDefault="00BD0840" w:rsidP="00942C53">
      <w:pPr>
        <w:rPr>
          <w:rFonts w:ascii="Calibri" w:hAnsi="Calibri" w:cs="Calibri"/>
          <w:sz w:val="24"/>
          <w:szCs w:val="24"/>
        </w:rPr>
      </w:pPr>
    </w:p>
    <w:p w14:paraId="6A0A2C96" w14:textId="3A09707A" w:rsidR="00942C53" w:rsidRPr="004E1F7E" w:rsidRDefault="00445BC5" w:rsidP="00B86483">
      <w:pPr>
        <w:pStyle w:val="Overskrift4"/>
        <w:rPr>
          <w:rFonts w:ascii="Calibri" w:hAnsi="Calibri" w:cs="Calibri"/>
          <w:sz w:val="24"/>
          <w:szCs w:val="24"/>
        </w:rPr>
      </w:pPr>
      <w:r w:rsidRPr="004E1F7E">
        <w:rPr>
          <w:rFonts w:ascii="Calibri" w:hAnsi="Calibri" w:cs="Calibri"/>
          <w:sz w:val="24"/>
          <w:szCs w:val="24"/>
        </w:rPr>
        <w:t>Forsøg 1 – 50 år på 2 dage</w:t>
      </w:r>
    </w:p>
    <w:p w14:paraId="3346B2C2" w14:textId="6B0508A0" w:rsidR="00F5383D" w:rsidRPr="004E1F7E" w:rsidRDefault="008149EA" w:rsidP="006E2DAB">
      <w:pPr>
        <w:rPr>
          <w:rFonts w:ascii="Calibri" w:hAnsi="Calibri" w:cs="Calibri"/>
          <w:sz w:val="24"/>
          <w:szCs w:val="24"/>
        </w:rPr>
      </w:pPr>
      <w:r w:rsidRPr="004E1F7E">
        <w:rPr>
          <w:rFonts w:ascii="Calibri" w:hAnsi="Calibri" w:cs="Calibri"/>
          <w:sz w:val="24"/>
          <w:szCs w:val="24"/>
        </w:rPr>
        <w:t xml:space="preserve">Dette forsøg simulerer den naturlige irring af kobbertage under moderne, renere atmosfæriske forhold, men </w:t>
      </w:r>
      <w:r w:rsidR="00970431" w:rsidRPr="004E1F7E">
        <w:rPr>
          <w:rFonts w:ascii="Calibri" w:hAnsi="Calibri" w:cs="Calibri"/>
          <w:sz w:val="24"/>
          <w:szCs w:val="24"/>
        </w:rPr>
        <w:t xml:space="preserve">processen </w:t>
      </w:r>
      <w:r w:rsidRPr="004E1F7E">
        <w:rPr>
          <w:rFonts w:ascii="Calibri" w:hAnsi="Calibri" w:cs="Calibri"/>
          <w:sz w:val="24"/>
          <w:szCs w:val="24"/>
        </w:rPr>
        <w:t>fremskynde</w:t>
      </w:r>
      <w:r w:rsidR="00970431">
        <w:rPr>
          <w:rFonts w:ascii="Calibri" w:hAnsi="Calibri" w:cs="Calibri"/>
          <w:sz w:val="24"/>
          <w:szCs w:val="24"/>
        </w:rPr>
        <w:t>s</w:t>
      </w:r>
      <w:r w:rsidRPr="004E1F7E">
        <w:rPr>
          <w:rFonts w:ascii="Calibri" w:hAnsi="Calibri" w:cs="Calibri"/>
          <w:sz w:val="24"/>
          <w:szCs w:val="24"/>
        </w:rPr>
        <w:t xml:space="preserve"> markant ved hjælp af ammoniak og saltvand.</w:t>
      </w:r>
      <w:r w:rsidR="004B68DB" w:rsidRPr="004E1F7E">
        <w:rPr>
          <w:rFonts w:ascii="Calibri" w:hAnsi="Calibri" w:cs="Calibri"/>
          <w:sz w:val="24"/>
          <w:szCs w:val="24"/>
        </w:rPr>
        <w:t xml:space="preserve"> </w:t>
      </w:r>
      <w:r w:rsidRPr="004E1F7E">
        <w:rPr>
          <w:rFonts w:ascii="Calibri" w:hAnsi="Calibri" w:cs="Calibri"/>
          <w:sz w:val="24"/>
          <w:szCs w:val="24"/>
        </w:rPr>
        <w:t xml:space="preserve">Eleverne får mulighed for at koble redoxkemi </w:t>
      </w:r>
      <w:r w:rsidR="00045B4B">
        <w:rPr>
          <w:rFonts w:ascii="Calibri" w:hAnsi="Calibri" w:cs="Calibri"/>
          <w:sz w:val="24"/>
          <w:szCs w:val="24"/>
        </w:rPr>
        <w:t xml:space="preserve">sammen </w:t>
      </w:r>
      <w:r w:rsidRPr="004E1F7E">
        <w:rPr>
          <w:rFonts w:ascii="Calibri" w:hAnsi="Calibri" w:cs="Calibri"/>
          <w:sz w:val="24"/>
          <w:szCs w:val="24"/>
        </w:rPr>
        <w:t xml:space="preserve">med et visuelt og </w:t>
      </w:r>
      <w:r w:rsidRPr="004E1F7E">
        <w:rPr>
          <w:rFonts w:ascii="Calibri" w:hAnsi="Calibri" w:cs="Calibri"/>
          <w:sz w:val="24"/>
          <w:szCs w:val="24"/>
        </w:rPr>
        <w:lastRenderedPageBreak/>
        <w:t>virkelighedsnært fænomen, samtidig med at sikkerhed og kemisk påvirkning af miljøet diskuteres.</w:t>
      </w:r>
    </w:p>
    <w:p w14:paraId="1FAF4425" w14:textId="77777777" w:rsidR="00BD0840" w:rsidRPr="004E1F7E" w:rsidRDefault="00BD0840" w:rsidP="006E2DAB">
      <w:pPr>
        <w:rPr>
          <w:rFonts w:ascii="Calibri" w:hAnsi="Calibri" w:cs="Calibri"/>
          <w:sz w:val="24"/>
          <w:szCs w:val="24"/>
        </w:rPr>
      </w:pPr>
    </w:p>
    <w:p w14:paraId="723DE825" w14:textId="77777777" w:rsidR="00DC1F42" w:rsidRPr="004E1F7E" w:rsidRDefault="00DC1F42" w:rsidP="006E2DAB">
      <w:pPr>
        <w:rPr>
          <w:rFonts w:ascii="Calibri" w:eastAsiaTheme="majorEastAsia" w:hAnsi="Calibri" w:cs="Calibri"/>
          <w:i/>
          <w:iCs/>
          <w:color w:val="0F4761" w:themeColor="accent1" w:themeShade="BF"/>
          <w:sz w:val="24"/>
          <w:szCs w:val="24"/>
        </w:rPr>
      </w:pPr>
      <w:r w:rsidRPr="004E1F7E">
        <w:rPr>
          <w:rFonts w:ascii="Calibri" w:eastAsiaTheme="majorEastAsia" w:hAnsi="Calibri" w:cs="Calibri"/>
          <w:i/>
          <w:iCs/>
          <w:color w:val="0F4761" w:themeColor="accent1" w:themeShade="BF"/>
          <w:sz w:val="24"/>
          <w:szCs w:val="24"/>
        </w:rPr>
        <w:t>Forsøg 2 – Den store kobberdyst – opskriften på perfekte grønne tage</w:t>
      </w:r>
    </w:p>
    <w:p w14:paraId="0A3842AF" w14:textId="7E24EDDC" w:rsidR="001D5536" w:rsidRPr="004E1F7E" w:rsidRDefault="001D5536" w:rsidP="001D5536">
      <w:pPr>
        <w:rPr>
          <w:rFonts w:ascii="Calibri" w:eastAsiaTheme="majorEastAsia" w:hAnsi="Calibri" w:cs="Calibri"/>
          <w:sz w:val="24"/>
          <w:szCs w:val="24"/>
        </w:rPr>
      </w:pPr>
      <w:r w:rsidRPr="004E1F7E">
        <w:rPr>
          <w:rFonts w:ascii="Calibri" w:eastAsiaTheme="majorEastAsia" w:hAnsi="Calibri" w:cs="Calibri"/>
          <w:sz w:val="24"/>
          <w:szCs w:val="24"/>
        </w:rPr>
        <w:t>I dette forsøg undersøger eleverne, hvordan forskellige kemikalier kan fremskynde den naturlige irring af kobber, så det opnår den karakteristiske grønne farve, som ses på gamle kobbertage</w:t>
      </w:r>
      <w:r w:rsidR="009D3DBF" w:rsidRPr="004E1F7E">
        <w:rPr>
          <w:rFonts w:ascii="Calibri" w:eastAsiaTheme="majorEastAsia" w:hAnsi="Calibri" w:cs="Calibri"/>
          <w:sz w:val="24"/>
          <w:szCs w:val="24"/>
        </w:rPr>
        <w:t xml:space="preserve">. Der er fokus på </w:t>
      </w:r>
      <w:r w:rsidRPr="004E1F7E">
        <w:rPr>
          <w:rFonts w:ascii="Calibri" w:eastAsiaTheme="majorEastAsia" w:hAnsi="Calibri" w:cs="Calibri"/>
          <w:sz w:val="24"/>
          <w:szCs w:val="24"/>
        </w:rPr>
        <w:t>kontrolforsøg og forsøgsdesign.</w:t>
      </w:r>
    </w:p>
    <w:p w14:paraId="2CEF039B" w14:textId="77777777" w:rsidR="00BD0840" w:rsidRPr="004E1F7E" w:rsidRDefault="00BD0840" w:rsidP="00971052">
      <w:pPr>
        <w:pStyle w:val="Overskrift4"/>
        <w:rPr>
          <w:rFonts w:ascii="Calibri" w:hAnsi="Calibri" w:cs="Calibri"/>
          <w:sz w:val="24"/>
          <w:szCs w:val="24"/>
        </w:rPr>
      </w:pPr>
    </w:p>
    <w:p w14:paraId="6B727EFD" w14:textId="50ECF139" w:rsidR="00971052" w:rsidRPr="004E1F7E" w:rsidRDefault="00784C1B" w:rsidP="00971052">
      <w:pPr>
        <w:pStyle w:val="Overskrift4"/>
        <w:rPr>
          <w:rFonts w:ascii="Calibri" w:hAnsi="Calibri" w:cs="Calibri"/>
          <w:sz w:val="24"/>
          <w:szCs w:val="24"/>
        </w:rPr>
      </w:pPr>
      <w:r w:rsidRPr="004E1F7E">
        <w:rPr>
          <w:rFonts w:ascii="Calibri" w:hAnsi="Calibri" w:cs="Calibri"/>
          <w:sz w:val="24"/>
          <w:szCs w:val="24"/>
        </w:rPr>
        <w:t>Forsøg 3</w:t>
      </w:r>
      <w:r w:rsidR="00971052" w:rsidRPr="004E1F7E">
        <w:rPr>
          <w:rFonts w:ascii="Calibri" w:hAnsi="Calibri" w:cs="Calibri"/>
          <w:sz w:val="24"/>
          <w:szCs w:val="24"/>
        </w:rPr>
        <w:t xml:space="preserve"> – Den kemiske kamelæon</w:t>
      </w:r>
    </w:p>
    <w:p w14:paraId="37F126D3" w14:textId="77777777" w:rsidR="00BD0840" w:rsidRPr="004E1F7E" w:rsidRDefault="00971052" w:rsidP="00BD0840">
      <w:pPr>
        <w:rPr>
          <w:rFonts w:ascii="Calibri" w:hAnsi="Calibri" w:cs="Calibri"/>
          <w:sz w:val="24"/>
          <w:szCs w:val="24"/>
        </w:rPr>
      </w:pPr>
      <w:r w:rsidRPr="004E1F7E">
        <w:rPr>
          <w:rFonts w:ascii="Calibri" w:hAnsi="Calibri" w:cs="Calibri"/>
          <w:sz w:val="24"/>
          <w:szCs w:val="24"/>
        </w:rPr>
        <w:t>Dette forsøg illustrerer visuelt redoxreaktioner ved hjælp af mangan, der gennemgår flere oxidationstrin med tydelige farveskift – fra lilla (Mn⁷⁺) til grøn (Mn⁶⁺) til brun (Mn⁴⁺) – og demonstrerer dermed elektronoverførsler i praksis.</w:t>
      </w:r>
    </w:p>
    <w:p w14:paraId="57ED48E5" w14:textId="6BB45447" w:rsidR="00BD0840" w:rsidRDefault="00971052" w:rsidP="00BD0840">
      <w:pPr>
        <w:rPr>
          <w:rFonts w:ascii="Calibri" w:hAnsi="Calibri" w:cs="Calibri"/>
          <w:sz w:val="24"/>
          <w:szCs w:val="24"/>
        </w:rPr>
      </w:pPr>
      <w:r w:rsidRPr="004E1F7E">
        <w:rPr>
          <w:rFonts w:ascii="Calibri" w:hAnsi="Calibri" w:cs="Calibri"/>
          <w:sz w:val="24"/>
          <w:szCs w:val="24"/>
        </w:rPr>
        <w:t xml:space="preserve">Eleverne arbejder med oxidation af sukker (sucrose) og anvender både sure og basiske betingelser for at fremkalde manganforbindelsernes karakteristiske farver, hvilket understøtter forståelsen af </w:t>
      </w:r>
      <w:r w:rsidR="004E1F7E" w:rsidRPr="004E1F7E">
        <w:rPr>
          <w:rFonts w:ascii="Calibri" w:hAnsi="Calibri" w:cs="Calibri"/>
          <w:sz w:val="24"/>
          <w:szCs w:val="24"/>
        </w:rPr>
        <w:t>OT</w:t>
      </w:r>
      <w:r w:rsidRPr="004E1F7E">
        <w:rPr>
          <w:rFonts w:ascii="Calibri" w:hAnsi="Calibri" w:cs="Calibri"/>
          <w:sz w:val="24"/>
          <w:szCs w:val="24"/>
        </w:rPr>
        <w:t xml:space="preserve"> og reaktionsbetingelsernes betydning.</w:t>
      </w:r>
    </w:p>
    <w:p w14:paraId="6B6913B3" w14:textId="05D10288" w:rsidR="00AD3A23" w:rsidRPr="004E1F7E" w:rsidRDefault="00AD3A23" w:rsidP="00BD0840">
      <w:pPr>
        <w:rPr>
          <w:rFonts w:ascii="Calibri" w:eastAsiaTheme="majorEastAsia" w:hAnsi="Calibri" w:cs="Calibri"/>
          <w:i/>
          <w:iCs/>
          <w:color w:val="0F4761" w:themeColor="accent1" w:themeShade="B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Du kan selv se </w:t>
      </w:r>
      <w:r w:rsidR="002F6BCC">
        <w:rPr>
          <w:rFonts w:ascii="Calibri" w:hAnsi="Calibri" w:cs="Calibri"/>
          <w:sz w:val="24"/>
          <w:szCs w:val="24"/>
        </w:rPr>
        <w:t xml:space="preserve">forsøget i forsøgsvideoen, som ligger nedenfor </w:t>
      </w:r>
      <w:r w:rsidR="00F2278E">
        <w:rPr>
          <w:rFonts w:ascii="Calibri" w:hAnsi="Calibri" w:cs="Calibri"/>
          <w:sz w:val="24"/>
          <w:szCs w:val="24"/>
        </w:rPr>
        <w:t xml:space="preserve">denne lærervejledning. Forsøget følger fremgangsmåden. </w:t>
      </w:r>
    </w:p>
    <w:p w14:paraId="6A1F6184" w14:textId="77777777" w:rsidR="00BD0840" w:rsidRPr="004E1F7E" w:rsidRDefault="00BD0840" w:rsidP="00971052">
      <w:pPr>
        <w:pStyle w:val="Overskrift4"/>
        <w:rPr>
          <w:rFonts w:ascii="Calibri" w:hAnsi="Calibri" w:cs="Calibri"/>
          <w:i w:val="0"/>
          <w:iCs w:val="0"/>
          <w:color w:val="auto"/>
          <w:sz w:val="24"/>
          <w:szCs w:val="24"/>
        </w:rPr>
      </w:pPr>
    </w:p>
    <w:p w14:paraId="30606FAA" w14:textId="43E0E8EE" w:rsidR="00784C1B" w:rsidRPr="004E1F7E" w:rsidRDefault="004E1F7E" w:rsidP="004E1F7E">
      <w:pPr>
        <w:pStyle w:val="Overskrift4"/>
        <w:rPr>
          <w:rFonts w:ascii="Calibri" w:hAnsi="Calibri" w:cs="Calibri"/>
          <w:sz w:val="24"/>
          <w:szCs w:val="24"/>
        </w:rPr>
      </w:pPr>
      <w:r w:rsidRPr="004E1F7E">
        <w:rPr>
          <w:rFonts w:ascii="Calibri" w:hAnsi="Calibri" w:cs="Calibri"/>
          <w:sz w:val="24"/>
          <w:szCs w:val="24"/>
        </w:rPr>
        <w:t>Forsøg 4 – Mangan i elbilbatterier</w:t>
      </w:r>
    </w:p>
    <w:p w14:paraId="2373C6FF" w14:textId="4449C424" w:rsidR="008878FC" w:rsidRDefault="0093559A" w:rsidP="006E2DA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forsøget skal eleverne starte med at se en kort video af</w:t>
      </w:r>
      <w:r w:rsidR="00BE248F">
        <w:rPr>
          <w:rFonts w:ascii="Calibri" w:hAnsi="Calibri" w:cs="Calibri"/>
          <w:sz w:val="24"/>
          <w:szCs w:val="24"/>
        </w:rPr>
        <w:t xml:space="preserve"> et forforsøg, hvor </w:t>
      </w:r>
      <w:r w:rsidR="003B08DA">
        <w:rPr>
          <w:rFonts w:ascii="Calibri" w:hAnsi="Calibri" w:cs="Calibri"/>
          <w:sz w:val="24"/>
          <w:szCs w:val="24"/>
        </w:rPr>
        <w:t>de skal identifi</w:t>
      </w:r>
      <w:r w:rsidR="008E6DAB">
        <w:rPr>
          <w:rFonts w:ascii="Calibri" w:hAnsi="Calibri" w:cs="Calibri"/>
          <w:sz w:val="24"/>
          <w:szCs w:val="24"/>
        </w:rPr>
        <w:t xml:space="preserve">cere </w:t>
      </w:r>
      <w:r w:rsidR="002B1F7B">
        <w:rPr>
          <w:rFonts w:ascii="Calibri" w:hAnsi="Calibri" w:cs="Calibri"/>
          <w:sz w:val="24"/>
          <w:szCs w:val="24"/>
        </w:rPr>
        <w:t xml:space="preserve">de forsøgsbetingelser, de </w:t>
      </w:r>
      <w:r w:rsidR="00694BD1">
        <w:rPr>
          <w:rFonts w:ascii="Calibri" w:hAnsi="Calibri" w:cs="Calibri"/>
          <w:sz w:val="24"/>
          <w:szCs w:val="24"/>
        </w:rPr>
        <w:t xml:space="preserve">efterfølgende </w:t>
      </w:r>
      <w:r w:rsidR="002B1F7B">
        <w:rPr>
          <w:rFonts w:ascii="Calibri" w:hAnsi="Calibri" w:cs="Calibri"/>
          <w:sz w:val="24"/>
          <w:szCs w:val="24"/>
        </w:rPr>
        <w:t xml:space="preserve">skal bruge i en redoxtitrering. Herefter følger en redoxtitrering af </w:t>
      </w:r>
      <w:r w:rsidR="001E2DB1">
        <w:rPr>
          <w:rFonts w:ascii="Calibri" w:hAnsi="Calibri" w:cs="Calibri"/>
          <w:sz w:val="24"/>
          <w:szCs w:val="24"/>
        </w:rPr>
        <w:t>Mn</w:t>
      </w:r>
      <w:r w:rsidR="001E2DB1" w:rsidRPr="001E2DB1">
        <w:rPr>
          <w:rFonts w:ascii="Calibri" w:hAnsi="Calibri" w:cs="Calibri"/>
          <w:sz w:val="24"/>
          <w:szCs w:val="24"/>
          <w:vertAlign w:val="superscript"/>
        </w:rPr>
        <w:t>7+</w:t>
      </w:r>
      <w:r w:rsidR="001E2DB1">
        <w:rPr>
          <w:rFonts w:ascii="Calibri" w:hAnsi="Calibri" w:cs="Calibri"/>
          <w:sz w:val="24"/>
          <w:szCs w:val="24"/>
        </w:rPr>
        <w:t xml:space="preserve"> til Mn</w:t>
      </w:r>
      <w:r w:rsidR="001E2DB1" w:rsidRPr="001E2DB1">
        <w:rPr>
          <w:rFonts w:ascii="Calibri" w:hAnsi="Calibri" w:cs="Calibri"/>
          <w:sz w:val="24"/>
          <w:szCs w:val="24"/>
          <w:vertAlign w:val="superscript"/>
        </w:rPr>
        <w:t>2+</w:t>
      </w:r>
      <w:r w:rsidR="001E2DB1">
        <w:rPr>
          <w:rFonts w:ascii="Calibri" w:hAnsi="Calibri" w:cs="Calibri"/>
          <w:sz w:val="24"/>
          <w:szCs w:val="24"/>
        </w:rPr>
        <w:t>.</w:t>
      </w:r>
      <w:r w:rsidR="00463713">
        <w:rPr>
          <w:rFonts w:ascii="Calibri" w:hAnsi="Calibri" w:cs="Calibri"/>
          <w:sz w:val="24"/>
          <w:szCs w:val="24"/>
        </w:rPr>
        <w:t xml:space="preserve"> Eleverne skal til sidst bruge stofmængdeberegninger til </w:t>
      </w:r>
      <w:r w:rsidR="00195B9D">
        <w:rPr>
          <w:rFonts w:ascii="Calibri" w:hAnsi="Calibri" w:cs="Calibri"/>
          <w:sz w:val="24"/>
          <w:szCs w:val="24"/>
        </w:rPr>
        <w:t xml:space="preserve">teoretisk at beregne </w:t>
      </w:r>
      <w:r w:rsidR="00255FD0">
        <w:rPr>
          <w:rFonts w:ascii="Calibri" w:hAnsi="Calibri" w:cs="Calibri"/>
          <w:sz w:val="24"/>
          <w:szCs w:val="24"/>
        </w:rPr>
        <w:t xml:space="preserve">det volumen </w:t>
      </w:r>
      <w:r w:rsidR="00892442">
        <w:rPr>
          <w:rFonts w:ascii="Calibri" w:hAnsi="Calibri" w:cs="Calibri"/>
          <w:sz w:val="24"/>
          <w:szCs w:val="24"/>
        </w:rPr>
        <w:t>kaliumpermanganatopløsning</w:t>
      </w:r>
      <w:r w:rsidR="00195B9D">
        <w:rPr>
          <w:rFonts w:ascii="Calibri" w:hAnsi="Calibri" w:cs="Calibri"/>
          <w:sz w:val="24"/>
          <w:szCs w:val="24"/>
        </w:rPr>
        <w:t>, de ville skulle fremstille</w:t>
      </w:r>
      <w:r w:rsidR="00F96C8A">
        <w:rPr>
          <w:rFonts w:ascii="Calibri" w:hAnsi="Calibri" w:cs="Calibri"/>
          <w:sz w:val="24"/>
          <w:szCs w:val="24"/>
        </w:rPr>
        <w:t>,</w:t>
      </w:r>
      <w:r w:rsidR="00195B9D">
        <w:rPr>
          <w:rFonts w:ascii="Calibri" w:hAnsi="Calibri" w:cs="Calibri"/>
          <w:sz w:val="24"/>
          <w:szCs w:val="24"/>
        </w:rPr>
        <w:t xml:space="preserve"> for a</w:t>
      </w:r>
      <w:r w:rsidR="00FC6472">
        <w:rPr>
          <w:rFonts w:ascii="Calibri" w:hAnsi="Calibri" w:cs="Calibri"/>
          <w:sz w:val="24"/>
          <w:szCs w:val="24"/>
        </w:rPr>
        <w:t>t have nok til et elbilbatteri.</w:t>
      </w:r>
      <w:r w:rsidR="00255FD0">
        <w:rPr>
          <w:rFonts w:ascii="Calibri" w:hAnsi="Calibri" w:cs="Calibri"/>
          <w:sz w:val="24"/>
          <w:szCs w:val="24"/>
        </w:rPr>
        <w:t xml:space="preserve"> Her kommer de </w:t>
      </w:r>
      <w:r w:rsidR="00892442">
        <w:rPr>
          <w:rFonts w:ascii="Calibri" w:hAnsi="Calibri" w:cs="Calibri"/>
          <w:sz w:val="24"/>
          <w:szCs w:val="24"/>
        </w:rPr>
        <w:t xml:space="preserve">frem til et meget højt volumen og ender forhåbentlig med at </w:t>
      </w:r>
      <w:r w:rsidR="0069670E">
        <w:rPr>
          <w:rFonts w:ascii="Calibri" w:hAnsi="Calibri" w:cs="Calibri"/>
          <w:sz w:val="24"/>
          <w:szCs w:val="24"/>
        </w:rPr>
        <w:t>afvise dette som en metode til at fremstille Mn</w:t>
      </w:r>
      <w:r w:rsidR="0069670E" w:rsidRPr="0069670E">
        <w:rPr>
          <w:rFonts w:ascii="Calibri" w:hAnsi="Calibri" w:cs="Calibri"/>
          <w:sz w:val="24"/>
          <w:szCs w:val="24"/>
          <w:vertAlign w:val="superscript"/>
        </w:rPr>
        <w:t>2+</w:t>
      </w:r>
      <w:r w:rsidR="0069670E">
        <w:rPr>
          <w:rFonts w:ascii="Calibri" w:hAnsi="Calibri" w:cs="Calibri"/>
          <w:sz w:val="24"/>
          <w:szCs w:val="24"/>
        </w:rPr>
        <w:t xml:space="preserve"> til elbilbatterier. Formålet med forsøget</w:t>
      </w:r>
      <w:r w:rsidR="00FC58EC">
        <w:rPr>
          <w:rFonts w:ascii="Calibri" w:hAnsi="Calibri" w:cs="Calibri"/>
          <w:sz w:val="24"/>
          <w:szCs w:val="24"/>
        </w:rPr>
        <w:t>,</w:t>
      </w:r>
      <w:r w:rsidR="0069670E">
        <w:rPr>
          <w:rFonts w:ascii="Calibri" w:hAnsi="Calibri" w:cs="Calibri"/>
          <w:sz w:val="24"/>
          <w:szCs w:val="24"/>
        </w:rPr>
        <w:t xml:space="preserve"> udover at gennemføre en redoxtitrering og analysere sig frem til den korrekte forsøgsbetingelse ud fra en video, </w:t>
      </w:r>
      <w:r w:rsidR="00FC58EC">
        <w:rPr>
          <w:rFonts w:ascii="Calibri" w:hAnsi="Calibri" w:cs="Calibri"/>
          <w:sz w:val="24"/>
          <w:szCs w:val="24"/>
        </w:rPr>
        <w:t xml:space="preserve">er også at sætte fokus på de store mængder metaller som mangan, der skal bruges til at fremstille fx et elbilbatteri. </w:t>
      </w:r>
      <w:r w:rsidR="00E20493">
        <w:rPr>
          <w:rFonts w:ascii="Calibri" w:hAnsi="Calibri" w:cs="Calibri"/>
          <w:sz w:val="24"/>
          <w:szCs w:val="24"/>
        </w:rPr>
        <w:t>35 kg er virkelig meget!</w:t>
      </w:r>
    </w:p>
    <w:p w14:paraId="3D1ECD19" w14:textId="2AE279ED" w:rsidR="00A93908" w:rsidRPr="00F2798F" w:rsidRDefault="002E24FB" w:rsidP="006E2DA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Natrium</w:t>
      </w:r>
      <w:r w:rsidR="00C14CA3">
        <w:rPr>
          <w:rFonts w:ascii="Calibri" w:hAnsi="Calibri" w:cs="Calibri"/>
          <w:sz w:val="24"/>
          <w:szCs w:val="24"/>
        </w:rPr>
        <w:t>sulfitopløsningen skal laves frisk</w:t>
      </w:r>
      <w:r w:rsidR="00FF7790">
        <w:rPr>
          <w:rFonts w:ascii="Calibri" w:hAnsi="Calibri" w:cs="Calibri"/>
          <w:sz w:val="24"/>
          <w:szCs w:val="24"/>
        </w:rPr>
        <w:t>, da sulfitten ellers oxideres til sulfat over tid, når der er dioxygen til stede</w:t>
      </w:r>
      <w:r w:rsidR="00C14CA3">
        <w:rPr>
          <w:rFonts w:ascii="Calibri" w:hAnsi="Calibri" w:cs="Calibri"/>
          <w:sz w:val="24"/>
          <w:szCs w:val="24"/>
        </w:rPr>
        <w:t xml:space="preserve">. </w:t>
      </w:r>
      <w:r w:rsidR="004343B7">
        <w:rPr>
          <w:rFonts w:ascii="Calibri" w:hAnsi="Calibri" w:cs="Calibri"/>
          <w:sz w:val="24"/>
          <w:szCs w:val="24"/>
        </w:rPr>
        <w:t xml:space="preserve">Du kan risikere, at den faste natriumsulfit er en anelse oxideret til natriumsulfat, og derfor kan du ikke være helt sikker på, at </w:t>
      </w:r>
      <w:r w:rsidR="003E239D">
        <w:rPr>
          <w:rFonts w:ascii="Calibri" w:hAnsi="Calibri" w:cs="Calibri"/>
          <w:sz w:val="24"/>
          <w:szCs w:val="24"/>
        </w:rPr>
        <w:t>din opløsning bliver præcis 0,01 M</w:t>
      </w:r>
      <w:r w:rsidR="00F1070C">
        <w:rPr>
          <w:rFonts w:ascii="Calibri" w:hAnsi="Calibri" w:cs="Calibri"/>
          <w:sz w:val="24"/>
          <w:szCs w:val="24"/>
        </w:rPr>
        <w:t>, selvom du laver den frisk</w:t>
      </w:r>
      <w:r w:rsidR="003E239D">
        <w:rPr>
          <w:rFonts w:ascii="Calibri" w:hAnsi="Calibri" w:cs="Calibri"/>
          <w:sz w:val="24"/>
          <w:szCs w:val="24"/>
        </w:rPr>
        <w:t xml:space="preserve">. Dette gør dog ikke så meget for forsøget, da der er tale om en </w:t>
      </w:r>
      <w:r w:rsidR="00F1070C">
        <w:rPr>
          <w:rFonts w:ascii="Calibri" w:hAnsi="Calibri" w:cs="Calibri"/>
          <w:sz w:val="24"/>
          <w:szCs w:val="24"/>
        </w:rPr>
        <w:t xml:space="preserve">titrering, hvor det ikke er afgørende, hvor præcist resultatet bliver. </w:t>
      </w:r>
    </w:p>
    <w:sectPr w:rsidR="00A93908" w:rsidRPr="00F2798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C96E4" w14:textId="77777777" w:rsidR="00375749" w:rsidRDefault="00375749" w:rsidP="00DA04A0">
      <w:pPr>
        <w:spacing w:after="0" w:line="240" w:lineRule="auto"/>
      </w:pPr>
      <w:r>
        <w:separator/>
      </w:r>
    </w:p>
  </w:endnote>
  <w:endnote w:type="continuationSeparator" w:id="0">
    <w:p w14:paraId="6A457508" w14:textId="77777777" w:rsidR="00375749" w:rsidRDefault="00375749" w:rsidP="00DA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6410691"/>
      <w:docPartObj>
        <w:docPartGallery w:val="Page Numbers (Bottom of Page)"/>
        <w:docPartUnique/>
      </w:docPartObj>
    </w:sdtPr>
    <w:sdtContent>
      <w:p w14:paraId="775009EA" w14:textId="440E3691" w:rsidR="00DA04A0" w:rsidRDefault="00DA04A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D75FD1" w14:textId="77777777" w:rsidR="00DA04A0" w:rsidRDefault="00DA04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4C473" w14:textId="77777777" w:rsidR="00375749" w:rsidRDefault="00375749" w:rsidP="00DA04A0">
      <w:pPr>
        <w:spacing w:after="0" w:line="240" w:lineRule="auto"/>
      </w:pPr>
      <w:r>
        <w:separator/>
      </w:r>
    </w:p>
  </w:footnote>
  <w:footnote w:type="continuationSeparator" w:id="0">
    <w:p w14:paraId="5B595E4E" w14:textId="77777777" w:rsidR="00375749" w:rsidRDefault="00375749" w:rsidP="00DA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648E"/>
    <w:multiLevelType w:val="hybridMultilevel"/>
    <w:tmpl w:val="F164247C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C5E03"/>
    <w:multiLevelType w:val="hybridMultilevel"/>
    <w:tmpl w:val="E5CE8F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263E"/>
    <w:multiLevelType w:val="hybridMultilevel"/>
    <w:tmpl w:val="32B0F3C2"/>
    <w:lvl w:ilvl="0" w:tplc="837EDD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3DBA"/>
    <w:multiLevelType w:val="hybridMultilevel"/>
    <w:tmpl w:val="CFEE570A"/>
    <w:lvl w:ilvl="0" w:tplc="49CA5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D2C7E"/>
    <w:multiLevelType w:val="hybridMultilevel"/>
    <w:tmpl w:val="562E8174"/>
    <w:lvl w:ilvl="0" w:tplc="1E7E48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61268295">
    <w:abstractNumId w:val="1"/>
  </w:num>
  <w:num w:numId="2" w16cid:durableId="493304648">
    <w:abstractNumId w:val="3"/>
  </w:num>
  <w:num w:numId="3" w16cid:durableId="75446673">
    <w:abstractNumId w:val="2"/>
  </w:num>
  <w:num w:numId="4" w16cid:durableId="2078934843">
    <w:abstractNumId w:val="0"/>
  </w:num>
  <w:num w:numId="5" w16cid:durableId="42751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39"/>
    <w:rsid w:val="0002206C"/>
    <w:rsid w:val="00025EEC"/>
    <w:rsid w:val="00032FDE"/>
    <w:rsid w:val="00043EB4"/>
    <w:rsid w:val="00045B4B"/>
    <w:rsid w:val="00047960"/>
    <w:rsid w:val="00073034"/>
    <w:rsid w:val="00096241"/>
    <w:rsid w:val="000974D0"/>
    <w:rsid w:val="000B69AD"/>
    <w:rsid w:val="000B7A81"/>
    <w:rsid w:val="000C114A"/>
    <w:rsid w:val="000C357B"/>
    <w:rsid w:val="000C398C"/>
    <w:rsid w:val="000D0075"/>
    <w:rsid w:val="000D34C8"/>
    <w:rsid w:val="000D3812"/>
    <w:rsid w:val="000E3C50"/>
    <w:rsid w:val="000F0AEC"/>
    <w:rsid w:val="000F40FE"/>
    <w:rsid w:val="001012F0"/>
    <w:rsid w:val="00106AD4"/>
    <w:rsid w:val="00112DD5"/>
    <w:rsid w:val="001138D1"/>
    <w:rsid w:val="00113DBC"/>
    <w:rsid w:val="00130DD2"/>
    <w:rsid w:val="00145A12"/>
    <w:rsid w:val="00161696"/>
    <w:rsid w:val="00167D04"/>
    <w:rsid w:val="00176385"/>
    <w:rsid w:val="00180FDF"/>
    <w:rsid w:val="00181307"/>
    <w:rsid w:val="00182954"/>
    <w:rsid w:val="0018547C"/>
    <w:rsid w:val="001877DF"/>
    <w:rsid w:val="001934CC"/>
    <w:rsid w:val="00195B9D"/>
    <w:rsid w:val="00197A0F"/>
    <w:rsid w:val="001A610B"/>
    <w:rsid w:val="001A7372"/>
    <w:rsid w:val="001B1A10"/>
    <w:rsid w:val="001B78BC"/>
    <w:rsid w:val="001C2180"/>
    <w:rsid w:val="001C4238"/>
    <w:rsid w:val="001D5536"/>
    <w:rsid w:val="001D6B1E"/>
    <w:rsid w:val="001E2DB1"/>
    <w:rsid w:val="001F1A1A"/>
    <w:rsid w:val="001F1FD0"/>
    <w:rsid w:val="001F2919"/>
    <w:rsid w:val="00216236"/>
    <w:rsid w:val="00255FD0"/>
    <w:rsid w:val="00256D12"/>
    <w:rsid w:val="00257B86"/>
    <w:rsid w:val="00272A4C"/>
    <w:rsid w:val="00282C2C"/>
    <w:rsid w:val="002A4AAA"/>
    <w:rsid w:val="002B0085"/>
    <w:rsid w:val="002B13EA"/>
    <w:rsid w:val="002B1F7B"/>
    <w:rsid w:val="002C1A6F"/>
    <w:rsid w:val="002C1BCC"/>
    <w:rsid w:val="002C343C"/>
    <w:rsid w:val="002C5B33"/>
    <w:rsid w:val="002D547A"/>
    <w:rsid w:val="002D5A23"/>
    <w:rsid w:val="002D6200"/>
    <w:rsid w:val="002D7DD7"/>
    <w:rsid w:val="002E24FB"/>
    <w:rsid w:val="002F44CF"/>
    <w:rsid w:val="002F56B0"/>
    <w:rsid w:val="002F6BCC"/>
    <w:rsid w:val="00304314"/>
    <w:rsid w:val="003047C6"/>
    <w:rsid w:val="00313162"/>
    <w:rsid w:val="003244D5"/>
    <w:rsid w:val="00333BAA"/>
    <w:rsid w:val="00342295"/>
    <w:rsid w:val="0036180A"/>
    <w:rsid w:val="00374748"/>
    <w:rsid w:val="00375749"/>
    <w:rsid w:val="003965DE"/>
    <w:rsid w:val="00396E62"/>
    <w:rsid w:val="00397128"/>
    <w:rsid w:val="003A4E14"/>
    <w:rsid w:val="003A6269"/>
    <w:rsid w:val="003B0349"/>
    <w:rsid w:val="003B08DA"/>
    <w:rsid w:val="003B7BED"/>
    <w:rsid w:val="003D2B64"/>
    <w:rsid w:val="003E239D"/>
    <w:rsid w:val="003E26D9"/>
    <w:rsid w:val="003E6022"/>
    <w:rsid w:val="003F1932"/>
    <w:rsid w:val="00405C17"/>
    <w:rsid w:val="00406532"/>
    <w:rsid w:val="00414A0C"/>
    <w:rsid w:val="0041688A"/>
    <w:rsid w:val="00417A80"/>
    <w:rsid w:val="00432A63"/>
    <w:rsid w:val="004343B7"/>
    <w:rsid w:val="00445464"/>
    <w:rsid w:val="00445BC5"/>
    <w:rsid w:val="00461C25"/>
    <w:rsid w:val="00463713"/>
    <w:rsid w:val="00464A8E"/>
    <w:rsid w:val="00470C53"/>
    <w:rsid w:val="004752BD"/>
    <w:rsid w:val="00482271"/>
    <w:rsid w:val="00482449"/>
    <w:rsid w:val="0048762B"/>
    <w:rsid w:val="00490F38"/>
    <w:rsid w:val="004B68DB"/>
    <w:rsid w:val="004B6A59"/>
    <w:rsid w:val="004D5D75"/>
    <w:rsid w:val="004E1F7E"/>
    <w:rsid w:val="004E3AEF"/>
    <w:rsid w:val="004E6533"/>
    <w:rsid w:val="004F7CF5"/>
    <w:rsid w:val="00504B4E"/>
    <w:rsid w:val="0051356B"/>
    <w:rsid w:val="00517585"/>
    <w:rsid w:val="0052104E"/>
    <w:rsid w:val="00526FE7"/>
    <w:rsid w:val="005440A5"/>
    <w:rsid w:val="00550FE0"/>
    <w:rsid w:val="00560889"/>
    <w:rsid w:val="00572346"/>
    <w:rsid w:val="00586666"/>
    <w:rsid w:val="00590FD0"/>
    <w:rsid w:val="00595F26"/>
    <w:rsid w:val="00596358"/>
    <w:rsid w:val="005A01C8"/>
    <w:rsid w:val="005A4583"/>
    <w:rsid w:val="005B39D4"/>
    <w:rsid w:val="005F0253"/>
    <w:rsid w:val="00600009"/>
    <w:rsid w:val="00604866"/>
    <w:rsid w:val="00617D05"/>
    <w:rsid w:val="00625ABC"/>
    <w:rsid w:val="00626FF9"/>
    <w:rsid w:val="006307A3"/>
    <w:rsid w:val="00633004"/>
    <w:rsid w:val="00637EBE"/>
    <w:rsid w:val="0065428E"/>
    <w:rsid w:val="006623A5"/>
    <w:rsid w:val="00677CD9"/>
    <w:rsid w:val="00680BF2"/>
    <w:rsid w:val="006829C4"/>
    <w:rsid w:val="00694BD1"/>
    <w:rsid w:val="0069670E"/>
    <w:rsid w:val="006A3EF6"/>
    <w:rsid w:val="006A4AB3"/>
    <w:rsid w:val="006D27A2"/>
    <w:rsid w:val="006D77D5"/>
    <w:rsid w:val="006E2DAB"/>
    <w:rsid w:val="00702054"/>
    <w:rsid w:val="00712EC6"/>
    <w:rsid w:val="007214AB"/>
    <w:rsid w:val="0073051E"/>
    <w:rsid w:val="00741C16"/>
    <w:rsid w:val="0075595B"/>
    <w:rsid w:val="007568D1"/>
    <w:rsid w:val="00762676"/>
    <w:rsid w:val="007645F3"/>
    <w:rsid w:val="007763D1"/>
    <w:rsid w:val="00782683"/>
    <w:rsid w:val="00784C1B"/>
    <w:rsid w:val="00786EA0"/>
    <w:rsid w:val="0079030B"/>
    <w:rsid w:val="0079500E"/>
    <w:rsid w:val="007A1D9A"/>
    <w:rsid w:val="007B365C"/>
    <w:rsid w:val="0080302E"/>
    <w:rsid w:val="00810A97"/>
    <w:rsid w:val="00812BD0"/>
    <w:rsid w:val="00813EDD"/>
    <w:rsid w:val="008149EA"/>
    <w:rsid w:val="00815A05"/>
    <w:rsid w:val="00815AD9"/>
    <w:rsid w:val="008357E9"/>
    <w:rsid w:val="00837EB2"/>
    <w:rsid w:val="00844AA7"/>
    <w:rsid w:val="00845AD1"/>
    <w:rsid w:val="0084745B"/>
    <w:rsid w:val="0086722F"/>
    <w:rsid w:val="008711BB"/>
    <w:rsid w:val="00871ED4"/>
    <w:rsid w:val="008864F8"/>
    <w:rsid w:val="008878FC"/>
    <w:rsid w:val="00892442"/>
    <w:rsid w:val="0089481E"/>
    <w:rsid w:val="008B2E72"/>
    <w:rsid w:val="008C5362"/>
    <w:rsid w:val="008E6DAB"/>
    <w:rsid w:val="00904280"/>
    <w:rsid w:val="009115F1"/>
    <w:rsid w:val="00912AD7"/>
    <w:rsid w:val="00922DC0"/>
    <w:rsid w:val="00923295"/>
    <w:rsid w:val="0092713A"/>
    <w:rsid w:val="00932705"/>
    <w:rsid w:val="00932DBA"/>
    <w:rsid w:val="0093559A"/>
    <w:rsid w:val="0093795F"/>
    <w:rsid w:val="00942C53"/>
    <w:rsid w:val="009546E6"/>
    <w:rsid w:val="009659BC"/>
    <w:rsid w:val="00970431"/>
    <w:rsid w:val="00971052"/>
    <w:rsid w:val="00972496"/>
    <w:rsid w:val="00976548"/>
    <w:rsid w:val="00980DE8"/>
    <w:rsid w:val="009855B6"/>
    <w:rsid w:val="009A098A"/>
    <w:rsid w:val="009A16DE"/>
    <w:rsid w:val="009A5F6B"/>
    <w:rsid w:val="009A7467"/>
    <w:rsid w:val="009A7C3B"/>
    <w:rsid w:val="009C5092"/>
    <w:rsid w:val="009D3DBF"/>
    <w:rsid w:val="009E4FFE"/>
    <w:rsid w:val="009E5EC4"/>
    <w:rsid w:val="009F5B1D"/>
    <w:rsid w:val="009F62E9"/>
    <w:rsid w:val="00A0213F"/>
    <w:rsid w:val="00A077BE"/>
    <w:rsid w:val="00A14D81"/>
    <w:rsid w:val="00A34302"/>
    <w:rsid w:val="00A47058"/>
    <w:rsid w:val="00A476DE"/>
    <w:rsid w:val="00A744DE"/>
    <w:rsid w:val="00A92F58"/>
    <w:rsid w:val="00A93908"/>
    <w:rsid w:val="00AB1D00"/>
    <w:rsid w:val="00AB28CB"/>
    <w:rsid w:val="00AB78BD"/>
    <w:rsid w:val="00AC53E4"/>
    <w:rsid w:val="00AD0033"/>
    <w:rsid w:val="00AD017E"/>
    <w:rsid w:val="00AD3A23"/>
    <w:rsid w:val="00AE5FD1"/>
    <w:rsid w:val="00B00696"/>
    <w:rsid w:val="00B131C8"/>
    <w:rsid w:val="00B21684"/>
    <w:rsid w:val="00B30FF0"/>
    <w:rsid w:val="00B33492"/>
    <w:rsid w:val="00B47D8A"/>
    <w:rsid w:val="00B628FB"/>
    <w:rsid w:val="00B65667"/>
    <w:rsid w:val="00B70D47"/>
    <w:rsid w:val="00B72C8E"/>
    <w:rsid w:val="00B8239F"/>
    <w:rsid w:val="00B86483"/>
    <w:rsid w:val="00B87A88"/>
    <w:rsid w:val="00B94E05"/>
    <w:rsid w:val="00BA277F"/>
    <w:rsid w:val="00BC5D63"/>
    <w:rsid w:val="00BD0840"/>
    <w:rsid w:val="00BD0AA0"/>
    <w:rsid w:val="00BD3D84"/>
    <w:rsid w:val="00BD6366"/>
    <w:rsid w:val="00BE248F"/>
    <w:rsid w:val="00C002BD"/>
    <w:rsid w:val="00C13A40"/>
    <w:rsid w:val="00C14CA3"/>
    <w:rsid w:val="00C31A09"/>
    <w:rsid w:val="00C340DF"/>
    <w:rsid w:val="00C51180"/>
    <w:rsid w:val="00C67EBE"/>
    <w:rsid w:val="00C71E47"/>
    <w:rsid w:val="00C7223B"/>
    <w:rsid w:val="00C800C2"/>
    <w:rsid w:val="00C8254A"/>
    <w:rsid w:val="00C93FA7"/>
    <w:rsid w:val="00CA16B5"/>
    <w:rsid w:val="00CA3BFB"/>
    <w:rsid w:val="00CA5DE8"/>
    <w:rsid w:val="00CD1A8F"/>
    <w:rsid w:val="00CD3698"/>
    <w:rsid w:val="00CD7A87"/>
    <w:rsid w:val="00CE1CF5"/>
    <w:rsid w:val="00CF0B61"/>
    <w:rsid w:val="00CF1B39"/>
    <w:rsid w:val="00D26ACB"/>
    <w:rsid w:val="00D31907"/>
    <w:rsid w:val="00D37208"/>
    <w:rsid w:val="00D42A9C"/>
    <w:rsid w:val="00D45D5B"/>
    <w:rsid w:val="00D549B1"/>
    <w:rsid w:val="00D57147"/>
    <w:rsid w:val="00D579B0"/>
    <w:rsid w:val="00D61DE4"/>
    <w:rsid w:val="00D64164"/>
    <w:rsid w:val="00D67CE8"/>
    <w:rsid w:val="00D75AD6"/>
    <w:rsid w:val="00D85E86"/>
    <w:rsid w:val="00D86271"/>
    <w:rsid w:val="00D94448"/>
    <w:rsid w:val="00D94C8A"/>
    <w:rsid w:val="00DA04A0"/>
    <w:rsid w:val="00DA1801"/>
    <w:rsid w:val="00DA3E98"/>
    <w:rsid w:val="00DA76E4"/>
    <w:rsid w:val="00DC1F42"/>
    <w:rsid w:val="00DD6792"/>
    <w:rsid w:val="00E20493"/>
    <w:rsid w:val="00E254BD"/>
    <w:rsid w:val="00E25EDA"/>
    <w:rsid w:val="00E279DB"/>
    <w:rsid w:val="00E27B20"/>
    <w:rsid w:val="00E343A3"/>
    <w:rsid w:val="00E43464"/>
    <w:rsid w:val="00E46564"/>
    <w:rsid w:val="00E470B8"/>
    <w:rsid w:val="00E61B0E"/>
    <w:rsid w:val="00E64C6A"/>
    <w:rsid w:val="00E66C9C"/>
    <w:rsid w:val="00E72854"/>
    <w:rsid w:val="00E81CFA"/>
    <w:rsid w:val="00E94BEE"/>
    <w:rsid w:val="00E96790"/>
    <w:rsid w:val="00EA1F3C"/>
    <w:rsid w:val="00EA771D"/>
    <w:rsid w:val="00EB436A"/>
    <w:rsid w:val="00EC2B7C"/>
    <w:rsid w:val="00EC73B9"/>
    <w:rsid w:val="00ED1853"/>
    <w:rsid w:val="00EE0D1B"/>
    <w:rsid w:val="00EE2C27"/>
    <w:rsid w:val="00EF08E4"/>
    <w:rsid w:val="00EF71D0"/>
    <w:rsid w:val="00F1070C"/>
    <w:rsid w:val="00F132A1"/>
    <w:rsid w:val="00F2278E"/>
    <w:rsid w:val="00F2798F"/>
    <w:rsid w:val="00F42C93"/>
    <w:rsid w:val="00F44807"/>
    <w:rsid w:val="00F50CB2"/>
    <w:rsid w:val="00F5383D"/>
    <w:rsid w:val="00F603AC"/>
    <w:rsid w:val="00F6329C"/>
    <w:rsid w:val="00F63F5A"/>
    <w:rsid w:val="00F665E0"/>
    <w:rsid w:val="00F7554E"/>
    <w:rsid w:val="00F81CDA"/>
    <w:rsid w:val="00F929FB"/>
    <w:rsid w:val="00F93DCA"/>
    <w:rsid w:val="00F96C8A"/>
    <w:rsid w:val="00FA7649"/>
    <w:rsid w:val="00FB169A"/>
    <w:rsid w:val="00FB6B50"/>
    <w:rsid w:val="00FC2903"/>
    <w:rsid w:val="00FC56E5"/>
    <w:rsid w:val="00FC58EC"/>
    <w:rsid w:val="00FC6472"/>
    <w:rsid w:val="00FD277F"/>
    <w:rsid w:val="00FE0F6F"/>
    <w:rsid w:val="00FE6F09"/>
    <w:rsid w:val="00FF1784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7669"/>
  <w15:chartTrackingRefBased/>
  <w15:docId w15:val="{06B43444-88B1-44CF-AB22-F40A98E8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1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F1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F1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F1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1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1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1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1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1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1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F1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F1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F1B3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1B3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1B3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1B3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1B3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1B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F1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F1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F1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F1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F1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F1B3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F1B3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F1B3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F1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F1B3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F1B3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9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F178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F1784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A0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04A0"/>
  </w:style>
  <w:style w:type="paragraph" w:styleId="Sidefod">
    <w:name w:val="footer"/>
    <w:basedOn w:val="Normal"/>
    <w:link w:val="SidefodTegn"/>
    <w:uiPriority w:val="99"/>
    <w:unhideWhenUsed/>
    <w:rsid w:val="00DA0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615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Lindeman Olsen</dc:creator>
  <cp:keywords/>
  <dc:description/>
  <cp:lastModifiedBy>Mie Lindeman Olsen</cp:lastModifiedBy>
  <cp:revision>83</cp:revision>
  <cp:lastPrinted>2024-12-03T08:44:00Z</cp:lastPrinted>
  <dcterms:created xsi:type="dcterms:W3CDTF">2025-07-02T09:31:00Z</dcterms:created>
  <dcterms:modified xsi:type="dcterms:W3CDTF">2025-07-29T06:43:00Z</dcterms:modified>
</cp:coreProperties>
</file>